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6"/>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7734"/>
      </w:tblGrid>
      <w:tr w:rsidR="00A65A34" w:rsidRPr="00C97D49" w:rsidTr="006D6CEF">
        <w:trPr>
          <w:cantSplit/>
          <w:trHeight w:val="1662"/>
        </w:trPr>
        <w:tc>
          <w:tcPr>
            <w:tcW w:w="2117" w:type="dxa"/>
            <w:tcBorders>
              <w:top w:val="single" w:sz="4" w:space="0" w:color="auto"/>
              <w:left w:val="single" w:sz="4" w:space="0" w:color="auto"/>
              <w:bottom w:val="single" w:sz="4" w:space="0" w:color="auto"/>
              <w:right w:val="single" w:sz="4" w:space="0" w:color="auto"/>
            </w:tcBorders>
          </w:tcPr>
          <w:p w:rsidR="00A65A34" w:rsidRPr="00C97D49" w:rsidRDefault="00A65A34" w:rsidP="006D6CEF">
            <w:pPr>
              <w:widowControl w:val="0"/>
              <w:jc w:val="center"/>
              <w:rPr>
                <w:b/>
                <w:bCs/>
                <w:lang w:eastAsia="zh-CN"/>
              </w:rPr>
            </w:pPr>
            <w:r w:rsidRPr="00C97D49">
              <w:rPr>
                <w:b/>
                <w:bCs/>
                <w:noProof/>
                <w:lang w:eastAsia="zh-CN"/>
              </w:rPr>
              <w:drawing>
                <wp:anchor distT="0" distB="0" distL="114300" distR="114300" simplePos="0" relativeHeight="251659264" behindDoc="0" locked="0" layoutInCell="1" allowOverlap="1">
                  <wp:simplePos x="0" y="0"/>
                  <wp:positionH relativeFrom="page">
                    <wp:posOffset>65405</wp:posOffset>
                  </wp:positionH>
                  <wp:positionV relativeFrom="paragraph">
                    <wp:posOffset>222250</wp:posOffset>
                  </wp:positionV>
                  <wp:extent cx="1188720" cy="726440"/>
                  <wp:effectExtent l="0" t="0" r="0" b="0"/>
                  <wp:wrapNone/>
                  <wp:docPr id="1294649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34" w:rsidRPr="00C97D49" w:rsidRDefault="00A65A34" w:rsidP="006D6CEF">
            <w:pPr>
              <w:widowControl w:val="0"/>
              <w:jc w:val="center"/>
              <w:rPr>
                <w:b/>
                <w:bCs/>
                <w:lang w:eastAsia="zh-CN"/>
              </w:rPr>
            </w:pPr>
          </w:p>
          <w:p w:rsidR="00A65A34" w:rsidRPr="00C97D49" w:rsidRDefault="00A65A34" w:rsidP="006D6CEF">
            <w:pPr>
              <w:widowControl w:val="0"/>
              <w:jc w:val="center"/>
              <w:rPr>
                <w:b/>
                <w:bCs/>
                <w:lang w:eastAsia="zh-CN"/>
              </w:rPr>
            </w:pPr>
          </w:p>
        </w:tc>
        <w:tc>
          <w:tcPr>
            <w:tcW w:w="7734" w:type="dxa"/>
            <w:tcBorders>
              <w:top w:val="single" w:sz="4" w:space="0" w:color="auto"/>
              <w:left w:val="single" w:sz="4" w:space="0" w:color="auto"/>
              <w:bottom w:val="single" w:sz="4" w:space="0" w:color="auto"/>
              <w:right w:val="single" w:sz="4" w:space="0" w:color="auto"/>
            </w:tcBorders>
          </w:tcPr>
          <w:p w:rsidR="00A65A34" w:rsidRPr="00C97D49" w:rsidRDefault="00A65A34" w:rsidP="006D6CEF">
            <w:pPr>
              <w:widowControl w:val="0"/>
              <w:jc w:val="center"/>
              <w:rPr>
                <w:b/>
                <w:bCs/>
                <w:sz w:val="18"/>
                <w:szCs w:val="18"/>
                <w:lang w:eastAsia="zh-CN"/>
              </w:rPr>
            </w:pPr>
          </w:p>
          <w:p w:rsidR="00A65A34" w:rsidRPr="00C97D49" w:rsidRDefault="00A65A34" w:rsidP="006D6CEF">
            <w:pPr>
              <w:widowControl w:val="0"/>
              <w:jc w:val="center"/>
              <w:rPr>
                <w:sz w:val="18"/>
                <w:szCs w:val="18"/>
                <w:lang w:eastAsia="zh-CN"/>
              </w:rPr>
            </w:pPr>
            <w:r w:rsidRPr="00C97D49">
              <w:rPr>
                <w:sz w:val="18"/>
                <w:szCs w:val="18"/>
                <w:lang w:eastAsia="zh-CN"/>
              </w:rPr>
              <w:t>CASA  DE ASIGURARI DE SANATATE A JUDETULUI BUZAU</w:t>
            </w:r>
          </w:p>
          <w:p w:rsidR="00A65A34" w:rsidRPr="00C97D49" w:rsidRDefault="00A65A34" w:rsidP="006D6CEF">
            <w:pPr>
              <w:widowControl w:val="0"/>
              <w:jc w:val="center"/>
              <w:rPr>
                <w:sz w:val="18"/>
                <w:szCs w:val="18"/>
                <w:lang w:eastAsia="zh-CN"/>
              </w:rPr>
            </w:pPr>
            <w:r w:rsidRPr="00C97D49">
              <w:rPr>
                <w:sz w:val="18"/>
                <w:szCs w:val="18"/>
                <w:lang w:eastAsia="zh-CN"/>
              </w:rPr>
              <w:t>Str. Crizantemelor, Nr. 18, Buzau., cod postal:120203</w:t>
            </w:r>
          </w:p>
          <w:p w:rsidR="00A65A34" w:rsidRPr="00C97D49" w:rsidRDefault="00A65A34" w:rsidP="006D6CEF">
            <w:pPr>
              <w:widowControl w:val="0"/>
              <w:jc w:val="center"/>
              <w:rPr>
                <w:sz w:val="18"/>
                <w:szCs w:val="18"/>
                <w:lang w:eastAsia="zh-CN"/>
              </w:rPr>
            </w:pPr>
            <w:r w:rsidRPr="00C97D49">
              <w:rPr>
                <w:sz w:val="18"/>
                <w:szCs w:val="18"/>
                <w:lang w:eastAsia="zh-CN"/>
              </w:rPr>
              <w:t>Tel.:0238/717834;  Fax: 0238/724108</w:t>
            </w:r>
          </w:p>
          <w:p w:rsidR="00A65A34" w:rsidRPr="00C97D49" w:rsidRDefault="00A65A34" w:rsidP="006D6CEF">
            <w:pPr>
              <w:widowControl w:val="0"/>
              <w:jc w:val="center"/>
              <w:rPr>
                <w:sz w:val="18"/>
                <w:szCs w:val="18"/>
                <w:lang w:eastAsia="zh-CN"/>
              </w:rPr>
            </w:pPr>
            <w:r w:rsidRPr="00C97D49">
              <w:rPr>
                <w:sz w:val="18"/>
                <w:szCs w:val="18"/>
                <w:lang w:eastAsia="zh-CN"/>
              </w:rPr>
              <w:t xml:space="preserve">E-mail: </w:t>
            </w:r>
            <w:hyperlink r:id="rId5" w:history="1">
              <w:r w:rsidRPr="00C97D49">
                <w:rPr>
                  <w:sz w:val="18"/>
                  <w:szCs w:val="18"/>
                  <w:lang w:eastAsia="zh-CN"/>
                </w:rPr>
                <w:t>office@casbz.ro</w:t>
              </w:r>
            </w:hyperlink>
          </w:p>
          <w:p w:rsidR="00A65A34" w:rsidRPr="00C97D49" w:rsidRDefault="00A65A34" w:rsidP="006D6CEF">
            <w:pPr>
              <w:widowControl w:val="0"/>
              <w:jc w:val="center"/>
              <w:rPr>
                <w:sz w:val="18"/>
                <w:szCs w:val="18"/>
                <w:lang w:eastAsia="zh-CN"/>
              </w:rPr>
            </w:pPr>
            <w:r w:rsidRPr="00C97D49">
              <w:rPr>
                <w:sz w:val="18"/>
                <w:szCs w:val="18"/>
                <w:lang w:eastAsia="zh-CN"/>
              </w:rPr>
              <w:t>Pagina Web:Http//www.casbz.ro</w:t>
            </w:r>
          </w:p>
          <w:p w:rsidR="00A65A34" w:rsidRPr="00C97D49" w:rsidRDefault="00A65A34" w:rsidP="006D6CEF">
            <w:pPr>
              <w:widowControl w:val="0"/>
              <w:jc w:val="center"/>
              <w:rPr>
                <w:b/>
                <w:bCs/>
                <w:lang w:eastAsia="zh-CN"/>
              </w:rPr>
            </w:pPr>
            <w:r w:rsidRPr="00C97D49">
              <w:rPr>
                <w:sz w:val="18"/>
                <w:szCs w:val="18"/>
                <w:lang w:eastAsia="zh-CN"/>
              </w:rPr>
              <w:t>Operator date cu caracter personal nr. 263</w:t>
            </w:r>
            <w:r w:rsidRPr="00C97D49">
              <w:rPr>
                <w:b/>
                <w:bCs/>
                <w:sz w:val="18"/>
                <w:szCs w:val="18"/>
                <w:lang w:eastAsia="zh-CN"/>
              </w:rPr>
              <w:t xml:space="preserve">                                   </w:t>
            </w:r>
            <w:hyperlink r:id="rId6" w:history="1"/>
          </w:p>
        </w:tc>
      </w:tr>
    </w:tbl>
    <w:p w:rsidR="00A65A34" w:rsidRDefault="00A65A34" w:rsidP="00A65A34">
      <w:pPr>
        <w:pStyle w:val="PlainText"/>
        <w:ind w:firstLine="720"/>
        <w:jc w:val="both"/>
        <w:rPr>
          <w:rFonts w:ascii="Times New Roman" w:hAnsi="Times New Roman" w:cs="Times New Roman"/>
          <w:b/>
          <w:sz w:val="28"/>
          <w:szCs w:val="28"/>
          <w:lang w:val="pt-BR"/>
        </w:rPr>
      </w:pPr>
    </w:p>
    <w:p w:rsidR="00A65A34" w:rsidRPr="00A65A34" w:rsidRDefault="00A65A34" w:rsidP="00A65A34">
      <w:pPr>
        <w:pStyle w:val="PlainText"/>
        <w:ind w:firstLine="720"/>
        <w:jc w:val="both"/>
        <w:rPr>
          <w:rFonts w:ascii="Times New Roman" w:hAnsi="Times New Roman" w:cs="Times New Roman"/>
          <w:b/>
          <w:sz w:val="28"/>
          <w:szCs w:val="28"/>
          <w:lang w:val="pt-BR"/>
        </w:rPr>
      </w:pPr>
      <w:r w:rsidRPr="00A65A34">
        <w:rPr>
          <w:rFonts w:ascii="Times New Roman" w:hAnsi="Times New Roman" w:cs="Times New Roman"/>
          <w:b/>
          <w:sz w:val="28"/>
          <w:szCs w:val="28"/>
          <w:lang w:val="pt-BR"/>
        </w:rPr>
        <w:t>Documentele necesare încheierii contractului valabil in anul 2023, incheiat in ba</w:t>
      </w:r>
      <w:r>
        <w:rPr>
          <w:rFonts w:ascii="Times New Roman" w:hAnsi="Times New Roman" w:cs="Times New Roman"/>
          <w:b/>
          <w:sz w:val="28"/>
          <w:szCs w:val="28"/>
          <w:lang w:val="pt-BR"/>
        </w:rPr>
        <w:t>z</w:t>
      </w:r>
      <w:r w:rsidRPr="00A65A34">
        <w:rPr>
          <w:rFonts w:ascii="Times New Roman" w:hAnsi="Times New Roman" w:cs="Times New Roman"/>
          <w:b/>
          <w:sz w:val="28"/>
          <w:szCs w:val="28"/>
          <w:lang w:val="pt-BR"/>
        </w:rPr>
        <w:t>a prevederilor HG nr. 521/2023</w:t>
      </w:r>
      <w:r>
        <w:rPr>
          <w:rFonts w:ascii="Times New Roman" w:hAnsi="Times New Roman" w:cs="Times New Roman"/>
          <w:b/>
          <w:sz w:val="28"/>
          <w:szCs w:val="28"/>
          <w:lang w:val="pt-BR"/>
        </w:rPr>
        <w:t>:</w:t>
      </w:r>
    </w:p>
    <w:p w:rsidR="00A65A34" w:rsidRDefault="00A65A34" w:rsidP="00A65A34">
      <w:pPr>
        <w:pStyle w:val="PlainText"/>
        <w:ind w:firstLine="720"/>
        <w:jc w:val="both"/>
        <w:rPr>
          <w:rFonts w:ascii="Times New Roman" w:hAnsi="Times New Roman" w:cs="Times New Roman"/>
          <w:b/>
          <w:sz w:val="28"/>
          <w:szCs w:val="28"/>
          <w:lang w:val="pt-BR"/>
        </w:rPr>
      </w:pPr>
    </w:p>
    <w:p w:rsidR="00A65A34" w:rsidRPr="004858C7" w:rsidRDefault="00A65A34" w:rsidP="00A65A34">
      <w:pPr>
        <w:pStyle w:val="PlainText"/>
        <w:ind w:firstLine="720"/>
        <w:jc w:val="both"/>
        <w:rPr>
          <w:rFonts w:ascii="Times New Roman" w:hAnsi="Times New Roman" w:cs="Times New Roman"/>
          <w:b/>
          <w:sz w:val="28"/>
          <w:szCs w:val="28"/>
          <w:lang w:val="pt-BR"/>
        </w:rPr>
      </w:pPr>
      <w:r w:rsidRPr="004858C7">
        <w:rPr>
          <w:rFonts w:ascii="Times New Roman" w:hAnsi="Times New Roman" w:cs="Times New Roman"/>
          <w:b/>
          <w:sz w:val="28"/>
          <w:szCs w:val="28"/>
          <w:lang w:val="pt-BR"/>
        </w:rPr>
        <w:t>IN ATENTIA FURNIZORILOR DE SERVICII DE DISPOZITIVE MEDICALE</w:t>
      </w:r>
      <w:r>
        <w:rPr>
          <w:rFonts w:ascii="Times New Roman" w:hAnsi="Times New Roman" w:cs="Times New Roman"/>
          <w:b/>
          <w:sz w:val="28"/>
          <w:szCs w:val="28"/>
          <w:lang w:val="pt-BR"/>
        </w:rPr>
        <w:t xml:space="preserve"> ASISTIVE:</w:t>
      </w:r>
      <w:r w:rsidRPr="004858C7">
        <w:rPr>
          <w:rFonts w:ascii="Times New Roman" w:hAnsi="Times New Roman" w:cs="Times New Roman"/>
          <w:b/>
          <w:sz w:val="28"/>
          <w:szCs w:val="28"/>
          <w:lang w:val="pt-BR"/>
        </w:rPr>
        <w:t xml:space="preserve"> </w:t>
      </w:r>
    </w:p>
    <w:p w:rsidR="00A65A34" w:rsidRPr="002E4721" w:rsidRDefault="00A65A34" w:rsidP="00A65A34">
      <w:pPr>
        <w:pStyle w:val="PlainText"/>
        <w:ind w:firstLine="680"/>
        <w:jc w:val="both"/>
        <w:rPr>
          <w:rFonts w:ascii="Arial" w:hAnsi="Arial" w:cs="Arial"/>
          <w:b/>
          <w:sz w:val="24"/>
          <w:szCs w:val="24"/>
          <w:lang w:val="pt-BR"/>
        </w:rPr>
      </w:pPr>
    </w:p>
    <w:p w:rsidR="00A65A34" w:rsidRPr="00A65A34" w:rsidRDefault="00A65A34" w:rsidP="00A65A34">
      <w:pPr>
        <w:ind w:firstLine="680"/>
        <w:rPr>
          <w:rFonts w:ascii="Times New Roman" w:hAnsi="Times New Roman" w:cs="Times New Roman"/>
          <w:b/>
          <w:sz w:val="24"/>
          <w:szCs w:val="24"/>
          <w:lang w:val="pt-BR"/>
        </w:rPr>
      </w:pPr>
    </w:p>
    <w:p w:rsidR="00A65A34" w:rsidRPr="00A65A34" w:rsidRDefault="00A65A34" w:rsidP="00A65A34">
      <w:pPr>
        <w:autoSpaceDE w:val="0"/>
        <w:autoSpaceDN w:val="0"/>
        <w:adjustRightInd w:val="0"/>
        <w:ind w:firstLine="720"/>
        <w:rPr>
          <w:rFonts w:ascii="Times New Roman" w:eastAsia="Calibri" w:hAnsi="Times New Roman" w:cs="Times New Roman"/>
          <w:sz w:val="24"/>
          <w:szCs w:val="24"/>
          <w:lang w:eastAsia="en-US"/>
        </w:rPr>
      </w:pPr>
      <w:r w:rsidRPr="00A65A34">
        <w:rPr>
          <w:rFonts w:ascii="Times New Roman" w:eastAsia="Calibri" w:hAnsi="Times New Roman" w:cs="Times New Roman"/>
          <w:sz w:val="24"/>
          <w:szCs w:val="24"/>
          <w:lang w:eastAsia="en-US"/>
        </w:rPr>
        <w:t>Dispozitivele medicale, tehnologiile şi dispozitivele asistive se acordă, pentru o perioadă determinată ori nedeterminată, de către furnizorii de dispozitive medicale, tehnologii şi dispozitive asistive/ punctele de lucru ale acestora care, în vederea intrării în relaţii contractuale cu casele de asigurări de sănătate, trebuie să îndeplinească următoarele condiţii:</w:t>
      </w:r>
    </w:p>
    <w:p w:rsidR="00A65A34" w:rsidRPr="00A65A34" w:rsidRDefault="00A65A34" w:rsidP="00A65A34">
      <w:pPr>
        <w:autoSpaceDE w:val="0"/>
        <w:autoSpaceDN w:val="0"/>
        <w:adjustRightInd w:val="0"/>
        <w:rPr>
          <w:rFonts w:ascii="Times New Roman" w:eastAsia="Calibri" w:hAnsi="Times New Roman" w:cs="Times New Roman"/>
          <w:sz w:val="24"/>
          <w:szCs w:val="24"/>
          <w:lang w:eastAsia="en-US"/>
        </w:rPr>
      </w:pPr>
      <w:r w:rsidRPr="00A65A34">
        <w:rPr>
          <w:rFonts w:ascii="Times New Roman" w:eastAsia="Calibri" w:hAnsi="Times New Roman" w:cs="Times New Roman"/>
          <w:sz w:val="24"/>
          <w:szCs w:val="24"/>
          <w:lang w:eastAsia="en-US"/>
        </w:rPr>
        <w:t xml:space="preserve">    a) sunt avizaţi de Ministerul Sănătăţii/Agenţia Naţională a Medicamentului şi a Dispozitivelor Medicale din România, conform prevederilor legale în vigoare, cu excepţia farmaciilor care deţin autorizaţie de funcţionare emisă de Ministerul Sănătăţii în acest sens;</w:t>
      </w:r>
    </w:p>
    <w:p w:rsidR="00A65A34" w:rsidRPr="00A65A34" w:rsidRDefault="00A65A34" w:rsidP="00A65A34">
      <w:pPr>
        <w:autoSpaceDE w:val="0"/>
        <w:autoSpaceDN w:val="0"/>
        <w:adjustRightInd w:val="0"/>
        <w:rPr>
          <w:rFonts w:ascii="Times New Roman" w:eastAsia="Calibri" w:hAnsi="Times New Roman" w:cs="Times New Roman"/>
          <w:sz w:val="24"/>
          <w:szCs w:val="24"/>
          <w:lang w:eastAsia="en-US"/>
        </w:rPr>
      </w:pPr>
      <w:r w:rsidRPr="00A65A34">
        <w:rPr>
          <w:rFonts w:ascii="Times New Roman" w:eastAsia="Calibri" w:hAnsi="Times New Roman" w:cs="Times New Roman"/>
          <w:b/>
          <w:sz w:val="24"/>
          <w:szCs w:val="24"/>
          <w:lang w:eastAsia="en-US"/>
        </w:rPr>
        <w:t xml:space="preserve">    </w:t>
      </w:r>
      <w:r w:rsidRPr="00A65A34">
        <w:rPr>
          <w:rFonts w:ascii="Times New Roman" w:eastAsia="Calibri" w:hAnsi="Times New Roman" w:cs="Times New Roman"/>
          <w:sz w:val="24"/>
          <w:szCs w:val="24"/>
          <w:lang w:eastAsia="en-US"/>
        </w:rPr>
        <w:t xml:space="preserve">b) sunt evaluaţi potrivit dispoziţiilor art. 253 din Legea nr. 95/2006, republicată, cu modificările şi completările ulterioare – pentru furnizorii care desfășoară doar activitate de comercializare a dispozitivelor medicale; </w:t>
      </w:r>
    </w:p>
    <w:p w:rsidR="00A65A34" w:rsidRPr="00A65A34" w:rsidRDefault="00A65A34" w:rsidP="00A65A34">
      <w:pPr>
        <w:autoSpaceDE w:val="0"/>
        <w:autoSpaceDN w:val="0"/>
        <w:adjustRightInd w:val="0"/>
        <w:rPr>
          <w:rFonts w:ascii="Times New Roman" w:eastAsia="Calibri" w:hAnsi="Times New Roman" w:cs="Times New Roman"/>
          <w:sz w:val="24"/>
          <w:szCs w:val="24"/>
          <w:lang w:eastAsia="en-US"/>
        </w:rPr>
      </w:pPr>
      <w:r w:rsidRPr="00A65A34">
        <w:rPr>
          <w:rFonts w:ascii="Times New Roman" w:eastAsia="Calibri" w:hAnsi="Times New Roman" w:cs="Times New Roman"/>
          <w:sz w:val="24"/>
          <w:szCs w:val="24"/>
          <w:lang w:eastAsia="en-US"/>
        </w:rPr>
        <w:t xml:space="preserve">    c) sunt acreditați sau înscriși în procesul de acreditare, potrivit reglementărilor Legii nr. 95/2006, republicată, cu modificările și completările ulterioare și cele ale Legii nr. 185/2017, cu modificările și completările ulterioare – pentru furnizorii care fabrică dispozitive medicale la comandă, precum și pentru furnizorii care desfășoară atât activitate de comercializare a dispozitivelor medicale  cât și de fabricare a dispozitivelor medicale la comandă;</w:t>
      </w:r>
    </w:p>
    <w:p w:rsidR="00A65A34" w:rsidRPr="00A65A34" w:rsidRDefault="00A65A34" w:rsidP="00A65A34">
      <w:pPr>
        <w:autoSpaceDE w:val="0"/>
        <w:autoSpaceDN w:val="0"/>
        <w:adjustRightInd w:val="0"/>
        <w:rPr>
          <w:rFonts w:ascii="Times New Roman" w:eastAsia="Calibri" w:hAnsi="Times New Roman" w:cs="Times New Roman"/>
          <w:sz w:val="24"/>
          <w:szCs w:val="24"/>
          <w:lang w:eastAsia="en-US"/>
        </w:rPr>
      </w:pPr>
      <w:r w:rsidRPr="00A65A34">
        <w:rPr>
          <w:rFonts w:ascii="Times New Roman" w:eastAsia="Calibri" w:hAnsi="Times New Roman" w:cs="Times New Roman"/>
          <w:sz w:val="24"/>
          <w:szCs w:val="24"/>
          <w:lang w:eastAsia="en-US"/>
        </w:rPr>
        <w:t xml:space="preserve">    d) transmit, în vederea încheierii contractului, documentele prevăzute la art. 166 alin. (1) în condiţiile alin. (2) şi (3) ale aceluiaşi articol din HG nr. 521/2023, la termenele stabilite pentru contractare.</w:t>
      </w:r>
    </w:p>
    <w:p w:rsidR="00A65A34" w:rsidRPr="00A65A34" w:rsidRDefault="00A65A34" w:rsidP="00A65A34">
      <w:pPr>
        <w:ind w:firstLine="680"/>
        <w:rPr>
          <w:rFonts w:ascii="Times New Roman" w:hAnsi="Times New Roman" w:cs="Times New Roman"/>
          <w:b/>
          <w:sz w:val="24"/>
          <w:szCs w:val="24"/>
          <w:lang w:val="pt-BR"/>
        </w:rPr>
      </w:pPr>
    </w:p>
    <w:p w:rsidR="00A65A34" w:rsidRPr="00A65A34" w:rsidRDefault="00A65A34" w:rsidP="00A65A34">
      <w:pPr>
        <w:autoSpaceDE w:val="0"/>
        <w:autoSpaceDN w:val="0"/>
        <w:adjustRightInd w:val="0"/>
        <w:ind w:firstLine="720"/>
        <w:rPr>
          <w:rFonts w:ascii="Times New Roman" w:eastAsia="Calibri" w:hAnsi="Times New Roman" w:cs="Times New Roman"/>
          <w:sz w:val="24"/>
          <w:szCs w:val="24"/>
          <w:lang w:eastAsia="en-US"/>
        </w:rPr>
      </w:pPr>
      <w:r w:rsidRPr="00A65A34">
        <w:rPr>
          <w:rFonts w:ascii="Times New Roman" w:eastAsia="Calibri" w:hAnsi="Times New Roman" w:cs="Times New Roman"/>
          <w:sz w:val="24"/>
          <w:szCs w:val="24"/>
          <w:lang w:eastAsia="en-US"/>
        </w:rPr>
        <w:t>Contractul de furnizare de dispozitive medicale, tehnologii şi dispozitive asistive se încheie între furnizorul de dispozitive medicale, tehnologii şi dispozitive asistive, prin reprezentantul legal sau împuternicitul legal al acestuia, după caz, şi casa de asigurări de sănătate, pe baza următoarelor documente:</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a) cerere/solicitare pentru intrarea în relaţie contractuală cu casa de asigurări de sănătate;</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b) dovada de evaluare pentru sediul social lucrativ şi pentru punctele de lucru, după caz, pentru furnizorii care au această obligaţie potrivit prevederilor art. 253 din Legea nr. 95/2006, republicată, cu modificările și completările ulterioare, valabilă la data încheierii contractului, cu obligaţia furnizorului de a o reînnoi pe toată perioada derulării contractului;</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Dovada de evaluare se depune la contractare numai de furnizorii care au evaluarea făcută de altă casă de asigurări de sănătate decât cea cu care furnizorul doreşte să intre în relaţie contractuală.</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 xml:space="preserve">c) dovada de acreditare sau de înscriere în procesul de acreditare a furnizorului, precum şi a punctelor de lucru, după caz, pentru furnizorii care au această obligaţie potrivit prevederilor art. 249 din Legea nr. 95/2006, republicată, cu modificările și completările ulterioare, şi ale Legii nr. </w:t>
      </w:r>
      <w:r w:rsidRPr="00A65A34">
        <w:rPr>
          <w:rFonts w:ascii="Times New Roman" w:eastAsia="TimesNewRomanPSMT" w:hAnsi="Times New Roman" w:cs="Times New Roman"/>
          <w:color w:val="000000"/>
          <w:sz w:val="24"/>
          <w:szCs w:val="24"/>
        </w:rPr>
        <w:lastRenderedPageBreak/>
        <w:t>185/2017, cu modificările şi completările ulterioare, valabilă la data încheierii contractului, cu obligaţia furnizorului de a o reînnoi pe toată perioada derulării contractului;</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e) contul deschis la Trezoreria Statului sau la bancă, potrivit legii</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f) certificatul/certificatele de înregistrare ale dispozitivelor medicale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g) avizul de funcţionare, după caz;</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h) dovada asigurării de răspundere civilă în domeniul medical pentru furnizor, valabilă la data încheierii contractului, cu obligaţia furnizorului de a o reînnoi pe toată perioada derulării contractului;</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i) lista preţurilor de vânzare cu amănuntul şi/sau a sumelor de închiriere pentru dispozitivele medicale, prevăzute în contractul de furnizare încheiat cu casa de asigurări de sănătate;</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j) lista, asumată prin semnătura electronică, cu personalul medico-sanitar, după caz, care intră sub incidenţa contractului încheiat cu casa de asigurări de sănătate şi care îşi desfăşoară activitatea în mod legal la furnizor, precum şi programul de lucru al acestuia, conform modelului prevăzut în norme. Listacuprinde informaţii necesare încheierii contractului;</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k) programul de lucru, conform modelului prevăzut în norme:</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1. sediul social lucrativ;</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2. punctul de lucru;</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l) copie de pe actul constitutiv;</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m) împuternicire legalizată pentru persoana desemnată ca împuternicit legal în relaţia cu casa de asigurări de sănătate, după caz;</w:t>
      </w:r>
    </w:p>
    <w:p w:rsidR="00D03256" w:rsidRPr="00A65A34" w:rsidRDefault="00000000" w:rsidP="00A65A34">
      <w:pPr>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n)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D03256" w:rsidRPr="00A65A34" w:rsidRDefault="00000000" w:rsidP="00A65A34">
      <w:pPr>
        <w:ind w:firstLine="420"/>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Documentele necesare încheierii contractelor se transmit în format electronic asumate fiecare în parte prin semnătura electronică extinsă/calificată a reprezentantului legal al furnizorului.Reprezentantul legal al furnizorului răspunde de realitatea şi exactitatea documentelor necesare încheierii contractelor.</w:t>
      </w:r>
    </w:p>
    <w:p w:rsidR="00D03256" w:rsidRDefault="00000000" w:rsidP="00A65A34">
      <w:pPr>
        <w:ind w:firstLine="420"/>
        <w:rPr>
          <w:rFonts w:ascii="Times New Roman" w:eastAsia="TimesNewRomanPSMT" w:hAnsi="Times New Roman" w:cs="Times New Roman"/>
          <w:color w:val="000000"/>
          <w:sz w:val="24"/>
          <w:szCs w:val="24"/>
        </w:rPr>
      </w:pPr>
      <w:r w:rsidRPr="00A65A34">
        <w:rPr>
          <w:rFonts w:ascii="Times New Roman" w:eastAsia="TimesNewRomanPSMT" w:hAnsi="Times New Roman" w:cs="Times New Roman"/>
          <w:color w:val="000000"/>
          <w:sz w:val="24"/>
          <w:szCs w:val="24"/>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r w:rsidR="00A65A34">
        <w:rPr>
          <w:rFonts w:ascii="Times New Roman" w:eastAsia="TimesNewRomanPSMT" w:hAnsi="Times New Roman" w:cs="Times New Roman"/>
          <w:color w:val="000000"/>
          <w:sz w:val="24"/>
          <w:szCs w:val="24"/>
        </w:rPr>
        <w:t>.</w:t>
      </w:r>
    </w:p>
    <w:p w:rsidR="00A65A34" w:rsidRDefault="00A65A34" w:rsidP="00A65A34">
      <w:pPr>
        <w:ind w:firstLine="420"/>
        <w:rPr>
          <w:rFonts w:ascii="Times New Roman" w:eastAsia="TimesNewRomanPSMT" w:hAnsi="Times New Roman" w:cs="Times New Roman"/>
          <w:color w:val="000000"/>
          <w:sz w:val="24"/>
          <w:szCs w:val="24"/>
        </w:rPr>
      </w:pPr>
    </w:p>
    <w:p w:rsidR="00A65A34" w:rsidRDefault="00A65A34" w:rsidP="00A65A34">
      <w:pPr>
        <w:ind w:firstLine="420"/>
        <w:rPr>
          <w:rFonts w:ascii="Times New Roman" w:eastAsia="TimesNewRomanPSMT" w:hAnsi="Times New Roman" w:cs="Times New Roman"/>
          <w:color w:val="000000"/>
          <w:sz w:val="24"/>
          <w:szCs w:val="24"/>
        </w:rPr>
      </w:pPr>
    </w:p>
    <w:p w:rsidR="00A65A34" w:rsidRPr="00A65A34" w:rsidRDefault="00A65A34" w:rsidP="00A65A34">
      <w:pPr>
        <w:ind w:firstLine="420"/>
        <w:rPr>
          <w:rFonts w:ascii="Times New Roman" w:eastAsia="TimesNewRomanPSMT" w:hAnsi="Times New Roman" w:cs="Times New Roman"/>
          <w:b/>
          <w:bCs/>
          <w:color w:val="000000"/>
          <w:sz w:val="24"/>
          <w:szCs w:val="24"/>
        </w:rPr>
      </w:pPr>
      <w:r w:rsidRPr="00A65A34">
        <w:rPr>
          <w:rFonts w:ascii="Times New Roman" w:eastAsia="TimesNewRomanPSMT" w:hAnsi="Times New Roman" w:cs="Times New Roman"/>
          <w:b/>
          <w:bCs/>
          <w:color w:val="000000"/>
          <w:sz w:val="24"/>
          <w:szCs w:val="24"/>
        </w:rPr>
        <w:t>DIRECTOR DIRECTIA RELATII CONTRACTUALE</w:t>
      </w:r>
    </w:p>
    <w:p w:rsidR="00A65A34" w:rsidRPr="00A65A34" w:rsidRDefault="00A65A34" w:rsidP="00A65A34">
      <w:pPr>
        <w:ind w:firstLine="420"/>
        <w:rPr>
          <w:rFonts w:ascii="Times New Roman" w:eastAsia="TimesNewRomanPS-BoldMT" w:hAnsi="Times New Roman" w:cs="Times New Roman"/>
          <w:b/>
          <w:bCs/>
          <w:sz w:val="24"/>
          <w:szCs w:val="24"/>
        </w:rPr>
      </w:pPr>
      <w:r w:rsidRPr="00A65A34">
        <w:rPr>
          <w:rFonts w:ascii="Times New Roman" w:eastAsia="TimesNewRomanPSMT" w:hAnsi="Times New Roman" w:cs="Times New Roman"/>
          <w:b/>
          <w:bCs/>
          <w:color w:val="000000"/>
          <w:sz w:val="24"/>
          <w:szCs w:val="24"/>
        </w:rPr>
        <w:t>Jr. Anghel Simona</w:t>
      </w:r>
    </w:p>
    <w:sectPr w:rsidR="00A65A34" w:rsidRPr="00A65A34" w:rsidSect="00A6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default"/>
    <w:sig w:usb0="00000000" w:usb1="00000000" w:usb2="00000000" w:usb3="00000000" w:csb0="00000002" w:csb1="00000000"/>
  </w:font>
  <w:font w:name="TimesNewRomanPS-BoldMT">
    <w:altName w:val="Segoe Print"/>
    <w:charset w:val="EE"/>
    <w:family w:val="auto"/>
    <w:pitch w:val="default"/>
    <w:sig w:usb0="00000000"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A65A34"/>
    <w:rsid w:val="00D03256"/>
    <w:rsid w:val="2B29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8113"/>
  <w15:docId w15:val="{4BF7B4DB-EF6E-408B-A2F4-34EEEAD8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rFonts w:eastAsia="SimSu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5A34"/>
    <w:pPr>
      <w:jc w:val="left"/>
    </w:pPr>
    <w:rPr>
      <w:rFonts w:ascii="Courier New" w:eastAsia="Times New Roman" w:hAnsi="Courier New" w:cs="Courier New"/>
      <w:kern w:val="0"/>
      <w:sz w:val="20"/>
      <w:lang w:val="en-US" w:eastAsia="en-US"/>
    </w:rPr>
  </w:style>
  <w:style w:type="character" w:customStyle="1" w:styleId="PlainTextChar">
    <w:name w:val="Plain Text Char"/>
    <w:basedOn w:val="DefaultParagraphFont"/>
    <w:link w:val="PlainText"/>
    <w:rsid w:val="00A65A34"/>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AS@BUZAU.RO" TargetMode="External"/><Relationship Id="rId5" Type="http://schemas.openxmlformats.org/officeDocument/2006/relationships/hyperlink" Target="mailto:office@casbz.ro" TargetMode="External"/><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954</Words>
  <Characters>5538</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2</cp:revision>
  <dcterms:created xsi:type="dcterms:W3CDTF">2023-06-06T11:40:00Z</dcterms:created>
  <dcterms:modified xsi:type="dcterms:W3CDTF">2023-06-07T08:22:00Z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BF323C90E52C4888BAD9EF52E9927303</vt:lpwstr>
  </property>
</Properties>
</file>